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1545" w:rsidRDefault="00EB2E6A">
      <w:proofErr w:type="gramStart"/>
      <w:r>
        <w:rPr>
          <w:b/>
          <w:color w:val="1155CC"/>
          <w:sz w:val="34"/>
          <w:szCs w:val="34"/>
        </w:rPr>
        <w:t>mHero</w:t>
      </w:r>
      <w:proofErr w:type="gramEnd"/>
      <w:r>
        <w:rPr>
          <w:b/>
          <w:color w:val="1155CC"/>
          <w:sz w:val="34"/>
          <w:szCs w:val="34"/>
        </w:rPr>
        <w:t xml:space="preserve"> Calendar for Annual Messages</w:t>
      </w:r>
      <w:r>
        <w:rPr>
          <w:noProof/>
        </w:rPr>
        <w:drawing>
          <wp:anchor distT="114300" distB="114300" distL="114300" distR="114300" simplePos="0" relativeHeight="251658240" behindDoc="0" locked="0" layoutInCell="0" hidden="0" allowOverlap="0">
            <wp:simplePos x="0" y="0"/>
            <wp:positionH relativeFrom="margin">
              <wp:posOffset>-190499</wp:posOffset>
            </wp:positionH>
            <wp:positionV relativeFrom="paragraph">
              <wp:posOffset>0</wp:posOffset>
            </wp:positionV>
            <wp:extent cx="1513884" cy="9667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513884" cy="966788"/>
                    </a:xfrm>
                    <a:prstGeom prst="rect">
                      <a:avLst/>
                    </a:prstGeom>
                    <a:ln/>
                  </pic:spPr>
                </pic:pic>
              </a:graphicData>
            </a:graphic>
          </wp:anchor>
        </w:drawing>
      </w:r>
    </w:p>
    <w:p w:rsidR="00A61545" w:rsidRDefault="00A61545"/>
    <w:p w:rsidR="00A61545" w:rsidRDefault="00EB2E6A">
      <w:r>
        <w:t xml:space="preserve">This calendar of internationally-recognized days related to health can be used to schedule annual messaging campaigns through mHero to health workers to boost morale and engagement.  </w:t>
      </w:r>
    </w:p>
    <w:p w:rsidR="00A61545" w:rsidRDefault="00A61545"/>
    <w:p w:rsidR="00A61545" w:rsidRDefault="00EB2E6A">
      <w:r>
        <w:t xml:space="preserve">An example for International Women’s Day could be: </w:t>
      </w:r>
    </w:p>
    <w:p w:rsidR="00A61545" w:rsidRDefault="00EB2E6A">
      <w:proofErr w:type="gramStart"/>
      <w:r>
        <w:rPr>
          <w:i/>
        </w:rPr>
        <w:t>“Happy International Women’s Day!</w:t>
      </w:r>
      <w:proofErr w:type="gramEnd"/>
      <w:r>
        <w:rPr>
          <w:i/>
        </w:rPr>
        <w:t xml:space="preserve"> Today the MOH wants to thank you for reducing maternal mortality by X% over the last year.”</w:t>
      </w:r>
    </w:p>
    <w:p w:rsidR="00A61545" w:rsidRDefault="00A61545"/>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270"/>
      </w:tblGrid>
      <w:tr w:rsidR="00A61545">
        <w:tc>
          <w:tcPr>
            <w:tcW w:w="3090" w:type="dxa"/>
            <w:tcMar>
              <w:top w:w="100" w:type="dxa"/>
              <w:left w:w="100" w:type="dxa"/>
              <w:bottom w:w="100" w:type="dxa"/>
              <w:right w:w="100" w:type="dxa"/>
            </w:tcMar>
          </w:tcPr>
          <w:p w:rsidR="00A61545" w:rsidRDefault="00EB2E6A">
            <w:pPr>
              <w:widowControl w:val="0"/>
              <w:spacing w:line="240" w:lineRule="auto"/>
            </w:pPr>
            <w:r>
              <w:rPr>
                <w:b/>
                <w:sz w:val="18"/>
                <w:szCs w:val="18"/>
              </w:rPr>
              <w:t>Date</w:t>
            </w:r>
          </w:p>
        </w:tc>
        <w:tc>
          <w:tcPr>
            <w:tcW w:w="6270" w:type="dxa"/>
            <w:tcMar>
              <w:top w:w="100" w:type="dxa"/>
              <w:left w:w="100" w:type="dxa"/>
              <w:bottom w:w="100" w:type="dxa"/>
              <w:right w:w="100" w:type="dxa"/>
            </w:tcMar>
          </w:tcPr>
          <w:p w:rsidR="00A61545" w:rsidRDefault="00EB2E6A">
            <w:pPr>
              <w:widowControl w:val="0"/>
              <w:spacing w:line="240" w:lineRule="auto"/>
            </w:pPr>
            <w:r>
              <w:rPr>
                <w:b/>
                <w:sz w:val="18"/>
                <w:szCs w:val="18"/>
              </w:rPr>
              <w:t>Internationally-recognized day</w:t>
            </w:r>
          </w:p>
        </w:tc>
      </w:tr>
      <w:tr w:rsidR="00A61545">
        <w:trPr>
          <w:trHeight w:val="420"/>
        </w:trPr>
        <w:tc>
          <w:tcPr>
            <w:tcW w:w="3090" w:type="dxa"/>
            <w:tcMar>
              <w:top w:w="100" w:type="dxa"/>
              <w:left w:w="100" w:type="dxa"/>
              <w:bottom w:w="100" w:type="dxa"/>
              <w:right w:w="100" w:type="dxa"/>
            </w:tcMar>
          </w:tcPr>
          <w:p w:rsidR="00A61545" w:rsidRDefault="00EB2E6A">
            <w:pPr>
              <w:widowControl w:val="0"/>
              <w:spacing w:line="240" w:lineRule="auto"/>
            </w:pPr>
            <w:r>
              <w:rPr>
                <w:sz w:val="18"/>
                <w:szCs w:val="18"/>
              </w:rPr>
              <w:t>March 8</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International Women’s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March 24</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Tuberculosis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April 7</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Health Day (topic changes each year)</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April (usually second week of April)</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 xml:space="preserve">World Health Worker Week (check </w:t>
            </w:r>
            <w:hyperlink r:id="rId6">
              <w:r>
                <w:rPr>
                  <w:color w:val="1155CC"/>
                  <w:sz w:val="18"/>
                  <w:szCs w:val="18"/>
                  <w:u w:val="single"/>
                </w:rPr>
                <w:t>Frontline Health Workers Coalition</w:t>
              </w:r>
            </w:hyperlink>
            <w:r>
              <w:rPr>
                <w:sz w:val="18"/>
                <w:szCs w:val="18"/>
              </w:rPr>
              <w:t xml:space="preserve"> website)</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April 24-30</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Immunization Week</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April 25</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Malaria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April 28</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Day for Safety and Health at Work</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May 5</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International Day of the Midwife</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May 12</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International Nurses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May 15</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International Day of Families</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May 23</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International Day to End Obstetric Fistula</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June 23</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United Nations Public Service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July 28</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Hepatitis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September 25</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Pharmacists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October 10</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Mental Health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November 14</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Diabetes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November 20</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Universal Children’s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December 1</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World AIDS Day</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December 3</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International Day of Persons with Disabilities</w:t>
            </w:r>
          </w:p>
        </w:tc>
      </w:tr>
      <w:tr w:rsidR="00A61545">
        <w:tc>
          <w:tcPr>
            <w:tcW w:w="3090" w:type="dxa"/>
            <w:tcMar>
              <w:top w:w="100" w:type="dxa"/>
              <w:left w:w="100" w:type="dxa"/>
              <w:bottom w:w="100" w:type="dxa"/>
              <w:right w:w="100" w:type="dxa"/>
            </w:tcMar>
          </w:tcPr>
          <w:p w:rsidR="00A61545" w:rsidRDefault="00EB2E6A">
            <w:pPr>
              <w:widowControl w:val="0"/>
              <w:spacing w:line="240" w:lineRule="auto"/>
            </w:pPr>
            <w:r>
              <w:rPr>
                <w:sz w:val="18"/>
                <w:szCs w:val="18"/>
              </w:rPr>
              <w:t>December 5</w:t>
            </w:r>
          </w:p>
        </w:tc>
        <w:tc>
          <w:tcPr>
            <w:tcW w:w="6270" w:type="dxa"/>
            <w:tcMar>
              <w:top w:w="100" w:type="dxa"/>
              <w:left w:w="100" w:type="dxa"/>
              <w:bottom w:w="100" w:type="dxa"/>
              <w:right w:w="100" w:type="dxa"/>
            </w:tcMar>
          </w:tcPr>
          <w:p w:rsidR="00A61545" w:rsidRDefault="00EB2E6A">
            <w:pPr>
              <w:widowControl w:val="0"/>
              <w:spacing w:line="240" w:lineRule="auto"/>
            </w:pPr>
            <w:r>
              <w:rPr>
                <w:sz w:val="18"/>
                <w:szCs w:val="18"/>
              </w:rPr>
              <w:t>International Volunteer Day (could recognize volunteer community health workers)</w:t>
            </w:r>
          </w:p>
        </w:tc>
      </w:tr>
    </w:tbl>
    <w:p w:rsidR="00A61545" w:rsidRDefault="00A61545"/>
    <w:p w:rsidR="0087572C" w:rsidRPr="0087572C" w:rsidRDefault="0087572C" w:rsidP="0087572C">
      <w:r w:rsidRPr="0087572C">
        <w:lastRenderedPageBreak/>
        <w:t>This information is made possible by the generous support of the American people through the United States Agency for International Development (USAID). The contents are the responsibility of IntraHealth International and do not necessarily reflect the views of USAID or the United States Government.</w:t>
      </w:r>
    </w:p>
    <w:p w:rsidR="0087572C" w:rsidRDefault="0087572C">
      <w:bookmarkStart w:id="0" w:name="_GoBack"/>
      <w:bookmarkEnd w:id="0"/>
    </w:p>
    <w:sectPr w:rsidR="008757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61545"/>
    <w:rsid w:val="000F195B"/>
    <w:rsid w:val="0041289B"/>
    <w:rsid w:val="0087572C"/>
    <w:rsid w:val="00A20C46"/>
    <w:rsid w:val="00A61545"/>
    <w:rsid w:val="00EB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ontlinehealthworker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Nicholson</dc:creator>
  <cp:lastModifiedBy>John Liebhardt</cp:lastModifiedBy>
  <cp:revision>2</cp:revision>
  <dcterms:created xsi:type="dcterms:W3CDTF">2016-08-30T17:36:00Z</dcterms:created>
  <dcterms:modified xsi:type="dcterms:W3CDTF">2016-08-30T17:36:00Z</dcterms:modified>
</cp:coreProperties>
</file>